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left" w:pos="1276"/>
        </w:tabs>
        <w:spacing w:after="0" w:line="240" w:lineRule="auto"/>
        <w:ind w:left="4536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Приложение 2.5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</w:p>
    <w:p>
      <w:pPr>
        <w:tabs>
          <w:tab w:val="left" w:pos="1276"/>
        </w:tabs>
        <w:spacing w:after="0" w:line="240" w:lineRule="auto"/>
        <w:ind w:left="4536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к Условиям эквайрингового обслуживания клиентов                    АО «Россельхозбанк»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(торговый эквайринг)</w:t>
      </w:r>
    </w:p>
    <w:p>
      <w:pPr>
        <w:ind w:left="4536" w:right="-285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(приказ АО «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Россельхозбанк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 xml:space="preserve">от 18.07.2024 № 1198-ОД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)</w:t>
      </w:r>
    </w:p>
    <w:p>
      <w:pPr>
        <w:tabs>
          <w:tab w:val="left" w:pos="0"/>
          <w:tab w:val="left" w:pos="284"/>
          <w:tab w:val="left" w:pos="567"/>
        </w:tabs>
        <w:spacing w:before="120" w:after="12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Перечень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дополнительных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документов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, предоставляемых Клиентом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, для заключения Договора эквайринга</w:t>
      </w:r>
      <w:r>
        <w:rPr>
          <w:rStyle w:val="a8"/>
          <w:rFonts w:ascii="Times New Roman" w:hAnsi="Times New Roman" w:eastAsia="Times New Roman" w:cs="Times New Roman"/>
          <w:b/>
          <w:sz w:val="24"/>
          <w:szCs w:val="24"/>
          <w:lang w:eastAsia="ru-RU"/>
        </w:rPr>
        <w:footnoteReference w:id="1"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>
      <w:pPr>
        <w:widowControl w:val="off"/>
        <w:tabs>
          <w:tab w:val="left" w:pos="284"/>
        </w:tabs>
        <w:spacing w:before="40" w:after="40" w:line="240" w:lineRule="auto"/>
        <w:ind w:left="60" w:right="20"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x-none"/>
        </w:rPr>
      </w:pPr>
    </w:p>
    <w:p>
      <w:pPr>
        <w:widowControl w:val="off"/>
        <w:numPr>
          <w:numId w:val="1"/>
          <w:ilvl w:val="0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Лицензии (разрешения/патенты) на право осуществления деятельности, подлежащей лицензированию (регулированию путем выдачи патента).</w:t>
      </w:r>
    </w:p>
    <w:p>
      <w:pPr>
        <w:widowControl w:val="off"/>
        <w:numPr>
          <w:numId w:val="1"/>
          <w:ilvl w:val="0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Согласие на обработку персональных данных</w:t>
      </w:r>
      <w:r>
        <w:rPr>
          <w:rStyle w:val="a8"/>
          <w:rFonts w:ascii="Times New Roman" w:hAnsi="Times New Roman" w:eastAsia="Times New Roman" w:cs="Times New Roman"/>
          <w:sz w:val="24"/>
          <w:szCs w:val="24"/>
          <w:lang w:eastAsia="ru-RU"/>
        </w:rPr>
        <w:footnoteReference w:id="2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типовая форма Банка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).</w:t>
      </w:r>
    </w:p>
    <w:p>
      <w:pPr>
        <w:widowControl w:val="off"/>
        <w:numPr>
          <w:numId w:val="1"/>
          <w:ilvl w:val="0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Дополнительные документы</w:t>
      </w:r>
      <w:r>
        <w:rPr>
          <w:rStyle w:val="a8"/>
          <w:rFonts w:ascii="Times New Roman" w:hAnsi="Times New Roman" w:eastAsia="Times New Roman" w:cs="Times New Roman"/>
          <w:sz w:val="24"/>
          <w:szCs w:val="24"/>
          <w:lang w:eastAsia="ru-RU"/>
        </w:rPr>
        <w:footnoteReference w:id="3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подтверждающие вид деятельности каждой торговой точки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Клиента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в том числе лицензии, разрешения (предоставляются, если ранее не были предоставлены в Банк).</w:t>
      </w:r>
    </w:p>
    <w:p>
      <w:pPr>
        <w:widowControl w:val="off"/>
        <w:numPr>
          <w:numId w:val="1"/>
          <w:ilvl w:val="0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Документ, подтверждающий полномочия лица на заключение Договора (Договор подписывается лицом, являющимся представителем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Клиента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) и документ, удостоверяющий личность представителя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Клиента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</w:t>
      </w:r>
    </w:p>
    <w:p>
      <w:pPr>
        <w:widowControl w:val="off"/>
        <w:tabs>
          <w:tab w:val="left" w:pos="284"/>
        </w:tabs>
        <w:spacing w:before="40" w:after="40" w:line="240" w:lineRule="auto"/>
        <w:ind w:left="60" w:right="2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x-none"/>
        </w:rPr>
      </w:pPr>
    </w:p>
    <w:p>
      <w:pPr>
        <w:widowControl w:val="o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x-non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x-none"/>
        </w:rPr>
        <w:t xml:space="preserve">Документы (сведения), представляемые в Банк, должны быть </w:t>
      </w:r>
      <w:r>
        <w:rPr>
          <w:rFonts w:ascii="Times New Roman" w:hAnsi="Times New Roman" w:eastAsia="Times New Roman" w:cs="Times New Roman"/>
          <w:sz w:val="24"/>
          <w:szCs w:val="24"/>
          <w:lang w:val="x-none" w:eastAsia="x-none"/>
        </w:rPr>
        <w:t xml:space="preserve">действительными на дату их предъявления.</w:t>
      </w:r>
    </w:p>
    <w:p>
      <w:pPr>
        <w:widowControl w:val="off"/>
        <w:tabs>
          <w:tab w:val="left" w:pos="284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val="x-none" w:eastAsia="x-none"/>
        </w:rPr>
        <w:t xml:space="preserve">Документы,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 xml:space="preserve"> могут быть представлены в виде:</w:t>
      </w:r>
    </w:p>
    <w:p>
      <w:pPr>
        <w:widowControl w:val="off"/>
        <w:tabs>
          <w:tab w:val="left" w:pos="284"/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 xml:space="preserve">-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eastAsia="Times New Roman" w:cs="Times New Roman"/>
          <w:bCs/>
          <w:sz w:val="24"/>
          <w:szCs w:val="24"/>
          <w:lang w:val="x-none" w:eastAsia="x-none"/>
        </w:rPr>
        <w:t xml:space="preserve">копий, заверенных нотариально или государственным органом, выдавшим/зарегистрировавшим документ;</w:t>
      </w:r>
    </w:p>
    <w:p>
      <w:pPr>
        <w:widowControl w:val="off"/>
        <w:tabs>
          <w:tab w:val="left" w:pos="284"/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 xml:space="preserve">-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ab/>
        <w:t xml:space="preserve">оригинала, для последующего их копирования Банком;</w:t>
      </w:r>
    </w:p>
    <w:p>
      <w:pPr>
        <w:widowControl w:val="off"/>
        <w:tabs>
          <w:tab w:val="left" w:pos="284"/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 xml:space="preserve">-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ab/>
      </w:r>
      <w:r>
        <w:rPr>
          <w:rFonts w:ascii="Times New Roman" w:hAnsi="Times New Roman" w:eastAsia="Times New Roman" w:cs="Times New Roman"/>
          <w:bCs/>
          <w:sz w:val="24"/>
          <w:szCs w:val="24"/>
          <w:lang w:val="x-none" w:eastAsia="x-none"/>
        </w:rPr>
        <w:t xml:space="preserve">копий, заверенных клиентом, содержащим подпись лица, заверившего копию документа, его фамилию, имя, отчество (при наличии)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  <w:lang w:val="x-none" w:eastAsia="x-none"/>
        </w:rPr>
        <w:t xml:space="preserve"> должность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 xml:space="preserve">, </w:t>
      </w:r>
      <w:r>
        <w:rPr>
          <w:rFonts w:ascii="Times New Roman" w:hAnsi="Times New Roman" w:eastAsia="Times New Roman" w:cs="Times New Roman"/>
          <w:bCs/>
          <w:sz w:val="24"/>
          <w:szCs w:val="24"/>
          <w:lang w:val="x-none" w:eastAsia="x-none"/>
        </w:rPr>
        <w:t xml:space="preserve">оттиск печати (при ее отсутствии – штампа) клиента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 xml:space="preserve"> и дату заверения</w:t>
      </w:r>
      <w:r>
        <w:rPr>
          <w:rFonts w:ascii="Times New Roman" w:hAnsi="Times New Roman" w:eastAsia="Times New Roman" w:cs="Times New Roman"/>
          <w:bCs/>
          <w:sz w:val="24"/>
          <w:szCs w:val="24"/>
          <w:lang w:val="x-none" w:eastAsia="x-none"/>
        </w:rPr>
        <w:t xml:space="preserve">, с одновременным представлением Банку оригинала документа для установления ему соответствия, представленной копии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 xml:space="preserve">.</w:t>
      </w:r>
    </w:p>
    <w:p>
      <w:pPr>
        <w:widowControl w:val="off"/>
        <w:tabs>
          <w:tab w:val="left" w:pos="284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val="x-none"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x-none"/>
        </w:rPr>
        <w:t xml:space="preserve">Для заключения Договора эквайринга с Клиентом могут быть истребованы дополнительные документы, не предусмотренные настоящим перечнем, в том </w:t>
      </w:r>
      <w:r>
        <w:rPr>
          <w:rFonts w:ascii="Times New Roman" w:hAnsi="Times New Roman" w:eastAsia="Times New Roman" w:cs="Times New Roman"/>
          <w:sz w:val="24"/>
          <w:szCs w:val="24"/>
          <w:lang w:val="x-none" w:eastAsia="x-none"/>
        </w:rPr>
        <w:t xml:space="preserve">числе – информационные сведения Клиента по форме Банка, документы, подтверждающие полномочия единоличного исполнительного органа юридического лица и иные документы, необходимые для идентификации клиента, представителя клиента, выгодоприобретателя, бенефициарного владельца.</w:t>
      </w:r>
    </w:p>
    <w:sectPr>
      <w:headerReference w:type="default" r:id="rId9"/>
      <w:headerReference w:type="first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204020203"/>
  </w:font>
  <w:font w:name="Arial Narrow">
    <w:panose1 w:val="020B0606020202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b"/>
      <w:jc w:val="center"/>
    </w:pPr>
  </w:p>
  <w:p>
    <w:pPr>
      <w:pStyle w:val="ab"/>
      <w:jc w:val="center"/>
    </w:pPr>
  </w:p>
  <w:p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a3"/>
        <w:jc w:val="both"/>
        <w:rPr>
          <w:rFonts w:ascii="Times New Roman" w:hAnsi="Times New Roman" w:cs="Times New Roman"/>
        </w:rPr>
      </w:pPr>
      <w:r>
        <w:rPr>
          <w:rStyle w:val="a8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Перечень дополнительных документов, предоставляемых Клиентом, в случае если у Клиента имеется открытый Счет в Банке. Если Клиент не имеет открытого Счета в Банке, предоставляются документы для заключения Договора эквайринга в соответствии с перечнем, приведенным в Приложениях 5-8 к Единому сервисному договору (размещены на сайте Банка </w:t>
      </w:r>
      <w:hyperlink r:id="rId1" w:history="1">
        <w:r>
          <w:rPr>
            <w:rFonts w:ascii="Times New Roman" w:hAnsi="Times New Roman" w:cs="Times New Roman"/>
          </w:rPr>
          <w:t xml:space="preserve">https://www.rshb.ru</w:t>
        </w:r>
      </w:hyperlink>
      <w:r>
        <w:rPr>
          <w:rFonts w:ascii="Times New Roman" w:hAnsi="Times New Roman" w:cs="Times New Roman"/>
        </w:rPr>
        <w:t xml:space="preserve">), в зависимости от вида организационно-правовой формы Клиента (см. раздел I «Основные документы»), за исключением Заявления о присоединении к Единому сервисному договору.</w:t>
      </w:r>
    </w:p>
  </w:footnote>
  <w:footnote w:id="2">
    <w:p>
      <w:pPr>
        <w:pStyle w:val="a3"/>
        <w:jc w:val="both"/>
        <w:rPr>
          <w:rFonts w:ascii="Times New Roman" w:hAnsi="Times New Roman" w:cs="Times New Roman"/>
        </w:rPr>
      </w:pPr>
      <w:r>
        <w:rPr>
          <w:rStyle w:val="a8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Согласие на обработку персональных данных по </w:t>
      </w:r>
      <w:r>
        <w:rPr>
          <w:rFonts w:ascii="Times New Roman" w:hAnsi="Times New Roman" w:cs="Times New Roman"/>
          <w:bCs/>
        </w:rPr>
        <w:t xml:space="preserve">типовой форме Банка</w:t>
      </w:r>
      <w:r>
        <w:rPr>
          <w:rFonts w:ascii="Times New Roman" w:hAnsi="Times New Roman" w:cs="Times New Roman"/>
          <w:bCs/>
        </w:rPr>
        <w:t xml:space="preserve"> предоставляется в Банк в случае, если ранее в Банк согласие на обработку персональных данных не предоставлялось</w:t>
      </w:r>
      <w:r>
        <w:rPr>
          <w:rFonts w:ascii="Times New Roman" w:hAnsi="Times New Roman" w:cs="Times New Roman"/>
          <w:bCs/>
        </w:rPr>
        <w:t xml:space="preserve"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в том числе в составе Заявления о присоединении к Условиям эквайринга/при открытии Счета в Банке/при получении иной банковской услуги</w:t>
      </w:r>
      <w:r>
        <w:rPr>
          <w:rFonts w:ascii="Times New Roman" w:hAnsi="Times New Roman" w:cs="Times New Roman"/>
          <w:bCs/>
        </w:rPr>
        <w:t xml:space="preserve"> либо в случае отзыва таким физическом лицом ранее предоставленного согласия на обработку персональных данных.</w:t>
      </w:r>
    </w:p>
  </w:footnote>
  <w:footnote w:id="3">
    <w:p>
      <w:pPr>
        <w:pStyle w:val="a3"/>
        <w:jc w:val="both"/>
        <w:rPr>
          <w:rFonts w:ascii="Times New Roman" w:hAnsi="Times New Roman" w:cs="Times New Roman"/>
        </w:rPr>
      </w:pPr>
      <w:r>
        <w:rPr>
          <w:rStyle w:val="a8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Дополнительные документы предоставляются по каждой торговой точке </w:t>
      </w:r>
      <w:r>
        <w:rPr>
          <w:rFonts w:ascii="Times New Roman" w:hAnsi="Times New Roman" w:cs="Times New Roman"/>
        </w:rPr>
        <w:t xml:space="preserve">при</w:t>
      </w:r>
      <w:r>
        <w:rPr>
          <w:rFonts w:ascii="Times New Roman" w:hAnsi="Times New Roman" w:cs="Times New Roman"/>
        </w:rPr>
        <w:t xml:space="preserve"> заключени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 Договора эквайринга, а </w:t>
      </w:r>
      <w:r>
        <w:rPr>
          <w:rFonts w:ascii="Times New Roman" w:hAnsi="Times New Roman" w:cs="Times New Roman"/>
        </w:rPr>
        <w:t xml:space="preserve">также в случае добавления торговой точки на эквайринговое обслуживание либо в случае изменения информации о торговой точке.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d"/>
      <w:jc w:val="center"/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PAGE   \* MERGEFORMAT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1</w:t>
    </w:r>
    <w:r>
      <w:rPr>
        <w:rFonts w:ascii="Times New Roman" w:hAnsi="Times New Roman" w:cs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d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Arial Narrow" w:hAnsi="Arial Narrow" w:eastAsia="Calibri" w:cs="Times New Roman"/>
        <w:b/>
        <w:bCs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 w:ascii="Arial Narrow" w:hAnsi="Arial Narrow" w:cs="Times New Roman"/>
        <w:b w:val="0"/>
        <w:bCs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Arial Narrow" w:hAnsi="Arial Narrow" w:cs="Times New Roman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Arial Narrow" w:hAnsi="Arial Narrow" w:cs="Times New Roman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Arial Narrow" w:hAnsi="Arial Narrow" w:cs="Times New Roman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Arial Narrow" w:hAnsi="Arial Narrow" w:cs="Times New Roman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 w:ascii="Arial Narrow" w:hAnsi="Arial Narrow" w:cs="Times New Roman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Arial Narrow" w:hAnsi="Arial Narrow" w:cs="Times New Roman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 w:ascii="Arial Narrow" w:hAnsi="Arial Narrow" w:cs="Times New Roman"/>
        <w:sz w:val="20"/>
      </w:rPr>
    </w:lvl>
  </w:abstractNum>
  <w:abstractNum w:abstractNumId="1">
    <w:multiLevelType w:val="hybridMultilevel"/>
    <w:lvl w:ilvl="0" w:tplc="330A85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multiLevelType w:val="hybridMultilevel"/>
    <w:lvl w:ilvl="0">
      <w:start w:val="3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sz w:val="16"/>
        <w:szCs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multiLevelType w:val="hybridMultilevel"/>
    <w:lvl w:ilvl="0" w:tplc="E450932E">
      <w:start w:val="24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16"/>
        <w:szCs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a4" w:customStyle="1">
    <w:name w:val="Текст сноски Знак"/>
    <w:basedOn w:val="a0"/>
    <w:link w:val="a3"/>
    <w:uiPriority w:val="99"/>
    <w:semiHidden/>
    <w:rPr>
      <w:sz w:val="20"/>
      <w:szCs w:val="20"/>
    </w:rPr>
  </w:style>
  <w:style w:type="character" w:styleId="a5">
    <w:name w:val="annotation reference"/>
    <w:rPr>
      <w:sz w:val="16"/>
      <w:szCs w:val="16"/>
    </w:rPr>
  </w:style>
  <w:style w:type="paragraph" w:styleId="a6">
    <w:name w:val="annotation text"/>
    <w:basedOn w:val="a"/>
    <w:link w:val="a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7" w:customStyle="1">
    <w:name w:val="Текст примечания Знак"/>
    <w:basedOn w:val="a0"/>
    <w:link w:val="a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 1,Знак сноски-FN,сноска,вески,ftref,fr,Used by Word for Help footnote symbols,ООО Знак сноски,СНОСКА,сноска1,Ciae niinee-FN,Referencia nota al pie,Footnote Reference,ХИА_ЗС,сноск,SUPERS,Avg,Table_Footnote_last Знак1,Знак сноски1"/>
    <w:qFormat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c" w:customStyle="1">
    <w:name w:val="Нижний колонтитул Знак"/>
    <w:basedOn w:val="a0"/>
    <w:link w:val="ab"/>
    <w:uiPriority w:val="99"/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e" w:customStyle="1">
    <w:name w:val="Верхний колонтитул Знак"/>
    <w:basedOn w:val="a0"/>
    <w:link w:val="ad"/>
    <w:uiPriority w:val="99"/>
  </w:style>
  <w:style w:type="paragraph" w:styleId="af">
    <w:name w:val="annotation subject"/>
    <w:basedOn w:val="a6"/>
    <w:next w:val="a6"/>
    <w:link w:val="af0"/>
    <w:uiPriority w:val="99"/>
    <w:semiHidden/>
    <w:unhideWhenUsed/>
    <w:pPr>
      <w:spacing w:after="160"/>
    </w:pPr>
    <w:rPr>
      <w:rFonts w:asciiTheme="minorHAnsi" w:hAnsiTheme="minorHAnsi" w:eastAsiaTheme="minorHAnsi" w:cstheme="minorBidi"/>
      <w:b/>
      <w:bCs/>
      <w:lang w:eastAsia="en-US"/>
    </w:rPr>
  </w:style>
  <w:style w:type="character" w:styleId="af0" w:customStyle="1">
    <w:name w:val="Тема примечания Знак"/>
    <w:basedOn w:val="a7"/>
    <w:link w:val="af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styleId="af2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9AE10-45FF-4D35-8084-1644C2AD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haracters>1594</Characters>
  <CharactersWithSpaces>1870</CharactersWithSpaces>
  <Company/>
  <DocSecurity>0</DocSecurity>
  <HyperlinksChanged>false</HyperlinksChanged>
  <Lines>13</Lines>
  <LinksUpToDate>false</LinksUpToDate>
  <Pages>1</Pages>
  <Paragraphs>3</Paragraphs>
  <ScaleCrop>false</ScaleCrop>
  <SharedDoc>false</SharedDoc>
  <Template>Normal</Template>
  <TotalTime>1</TotalTime>
  <Words>279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Якушина Мария Андреевна</dc:creator>
  <cp:keywords/>
  <dc:description/>
  <cp:lastModifiedBy>Савельева Элла Сергеевна</cp:lastModifiedBy>
  <cp:revision>5</cp:revision>
  <dcterms:created xsi:type="dcterms:W3CDTF">2024-05-22T15:38:00Z</dcterms:created>
  <dcterms:modified xsi:type="dcterms:W3CDTF">2024-07-18T07:26:00Z</dcterms:modified>
</cp:coreProperties>
</file>